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7E51C" w14:textId="77777777" w:rsidR="007252B1" w:rsidRDefault="00430499" w:rsidP="007252B1">
      <w:pPr>
        <w:jc w:val="center"/>
        <w:rPr>
          <w:rFonts w:cstheme="minorHAnsi"/>
        </w:rPr>
      </w:pPr>
      <w:bookmarkStart w:id="0" w:name="_GoBack"/>
      <w:bookmarkEnd w:id="0"/>
      <w:r w:rsidRPr="007252B1">
        <w:rPr>
          <w:rFonts w:cstheme="minorHAnsi"/>
        </w:rPr>
        <w:t>Guidelines f</w:t>
      </w:r>
      <w:r w:rsidR="007252B1">
        <w:rPr>
          <w:rFonts w:cstheme="minorHAnsi"/>
        </w:rPr>
        <w:t>or Expenditures with 803 Funds;</w:t>
      </w:r>
    </w:p>
    <w:p w14:paraId="1D12B79C" w14:textId="751D3B23" w:rsidR="00384484" w:rsidRPr="007252B1" w:rsidRDefault="00430499" w:rsidP="007252B1">
      <w:pPr>
        <w:jc w:val="center"/>
        <w:rPr>
          <w:rFonts w:cstheme="minorHAnsi"/>
        </w:rPr>
      </w:pPr>
      <w:r w:rsidRPr="007252B1">
        <w:rPr>
          <w:rFonts w:cstheme="minorHAnsi"/>
        </w:rPr>
        <w:t>Federal Contracts, Grants &amp; Cooperative Agreements</w:t>
      </w:r>
    </w:p>
    <w:p w14:paraId="2444B5F9" w14:textId="7B05E4D9" w:rsidR="00430499" w:rsidRPr="00E47B3D" w:rsidRDefault="00430499">
      <w:pPr>
        <w:rPr>
          <w:rFonts w:cstheme="minorHAnsi"/>
          <w:sz w:val="20"/>
          <w:szCs w:val="20"/>
        </w:rPr>
      </w:pPr>
    </w:p>
    <w:p w14:paraId="7D7290FE" w14:textId="77777777" w:rsidR="007252B1" w:rsidRDefault="007252B1">
      <w:pPr>
        <w:rPr>
          <w:rFonts w:cstheme="minorHAnsi"/>
          <w:sz w:val="20"/>
          <w:szCs w:val="20"/>
        </w:rPr>
      </w:pPr>
    </w:p>
    <w:p w14:paraId="2C295F68" w14:textId="0DE8DD85" w:rsidR="00430499" w:rsidRPr="00E47B3D" w:rsidRDefault="00430499">
      <w:pPr>
        <w:rPr>
          <w:rFonts w:cstheme="minorHAnsi"/>
          <w:sz w:val="20"/>
          <w:szCs w:val="20"/>
        </w:rPr>
      </w:pPr>
      <w:r w:rsidRPr="00E47B3D">
        <w:rPr>
          <w:rFonts w:cstheme="minorHAnsi"/>
          <w:sz w:val="20"/>
          <w:szCs w:val="20"/>
        </w:rPr>
        <w:t xml:space="preserve">The spending of any funds awarded by the federal government to SAO is governed by </w:t>
      </w:r>
      <w:r w:rsidR="00D57525" w:rsidRPr="00E47B3D">
        <w:rPr>
          <w:rFonts w:cstheme="minorHAnsi"/>
          <w:sz w:val="20"/>
          <w:szCs w:val="20"/>
        </w:rPr>
        <w:t>2 CFR 200</w:t>
      </w:r>
      <w:r w:rsidRPr="00E47B3D">
        <w:rPr>
          <w:rFonts w:cstheme="minorHAnsi"/>
          <w:sz w:val="20"/>
          <w:szCs w:val="20"/>
        </w:rPr>
        <w:t xml:space="preserve"> – </w:t>
      </w:r>
      <w:r w:rsidRPr="00E47B3D">
        <w:rPr>
          <w:rFonts w:cstheme="minorHAnsi"/>
          <w:i/>
          <w:sz w:val="20"/>
          <w:szCs w:val="20"/>
        </w:rPr>
        <w:t>Uniform Administrative Requirements, Cost Principles, and Audit Requirements for Federal Awards</w:t>
      </w:r>
      <w:r w:rsidRPr="00E47B3D">
        <w:rPr>
          <w:rFonts w:cstheme="minorHAnsi"/>
          <w:sz w:val="20"/>
          <w:szCs w:val="20"/>
        </w:rPr>
        <w:t xml:space="preserve"> (</w:t>
      </w:r>
      <w:r w:rsidR="00D57525" w:rsidRPr="00E47B3D">
        <w:rPr>
          <w:rFonts w:cstheme="minorHAnsi"/>
          <w:sz w:val="20"/>
          <w:szCs w:val="20"/>
        </w:rPr>
        <w:t>“</w:t>
      </w:r>
      <w:r w:rsidRPr="00E47B3D">
        <w:rPr>
          <w:rFonts w:cstheme="minorHAnsi"/>
          <w:sz w:val="20"/>
          <w:szCs w:val="20"/>
        </w:rPr>
        <w:t>Uniform Guidance</w:t>
      </w:r>
      <w:r w:rsidR="00D57525" w:rsidRPr="00E47B3D">
        <w:rPr>
          <w:rFonts w:cstheme="minorHAnsi"/>
          <w:sz w:val="20"/>
          <w:szCs w:val="20"/>
        </w:rPr>
        <w:t>”</w:t>
      </w:r>
      <w:r w:rsidRPr="00E47B3D">
        <w:rPr>
          <w:rFonts w:cstheme="minorHAnsi"/>
          <w:sz w:val="20"/>
          <w:szCs w:val="20"/>
        </w:rPr>
        <w:t xml:space="preserve">, or </w:t>
      </w:r>
      <w:r w:rsidR="00D57525" w:rsidRPr="00E47B3D">
        <w:rPr>
          <w:rFonts w:cstheme="minorHAnsi"/>
          <w:sz w:val="20"/>
          <w:szCs w:val="20"/>
        </w:rPr>
        <w:t>“</w:t>
      </w:r>
      <w:r w:rsidRPr="00E47B3D">
        <w:rPr>
          <w:rFonts w:cstheme="minorHAnsi"/>
          <w:sz w:val="20"/>
          <w:szCs w:val="20"/>
        </w:rPr>
        <w:t>UG</w:t>
      </w:r>
      <w:r w:rsidR="00D57525" w:rsidRPr="00E47B3D">
        <w:rPr>
          <w:rFonts w:cstheme="minorHAnsi"/>
          <w:sz w:val="20"/>
          <w:szCs w:val="20"/>
        </w:rPr>
        <w:t>”</w:t>
      </w:r>
      <w:r w:rsidRPr="00E47B3D">
        <w:rPr>
          <w:rFonts w:cstheme="minorHAnsi"/>
          <w:sz w:val="20"/>
          <w:szCs w:val="20"/>
        </w:rPr>
        <w:t xml:space="preserve">). </w:t>
      </w:r>
      <w:r w:rsidR="00D57525" w:rsidRPr="00E47B3D">
        <w:rPr>
          <w:rFonts w:cstheme="minorHAnsi"/>
          <w:sz w:val="20"/>
          <w:szCs w:val="20"/>
        </w:rPr>
        <w:t xml:space="preserve"> </w:t>
      </w:r>
      <w:r w:rsidR="00164A14">
        <w:rPr>
          <w:rFonts w:cstheme="minorHAnsi"/>
          <w:sz w:val="20"/>
          <w:szCs w:val="20"/>
        </w:rPr>
        <w:t xml:space="preserve">This applies whether the awards are made directly </w:t>
      </w:r>
      <w:r w:rsidR="00442B41">
        <w:rPr>
          <w:rFonts w:cstheme="minorHAnsi"/>
          <w:sz w:val="20"/>
          <w:szCs w:val="20"/>
        </w:rPr>
        <w:t>to SAO (as prime Recipient/</w:t>
      </w:r>
      <w:r w:rsidR="00164A14">
        <w:rPr>
          <w:rFonts w:cstheme="minorHAnsi"/>
          <w:sz w:val="20"/>
          <w:szCs w:val="20"/>
        </w:rPr>
        <w:t xml:space="preserve">Contractor) </w:t>
      </w:r>
      <w:r w:rsidR="00442B41">
        <w:rPr>
          <w:rFonts w:cstheme="minorHAnsi"/>
          <w:sz w:val="20"/>
          <w:szCs w:val="20"/>
        </w:rPr>
        <w:t>by a F</w:t>
      </w:r>
      <w:r w:rsidR="00164A14">
        <w:rPr>
          <w:rFonts w:cstheme="minorHAnsi"/>
          <w:sz w:val="20"/>
          <w:szCs w:val="20"/>
        </w:rPr>
        <w:t xml:space="preserve">ederal </w:t>
      </w:r>
      <w:r w:rsidR="00442B41">
        <w:rPr>
          <w:rFonts w:cstheme="minorHAnsi"/>
          <w:sz w:val="20"/>
          <w:szCs w:val="20"/>
        </w:rPr>
        <w:t>awarding agency</w:t>
      </w:r>
      <w:r w:rsidR="00164A14">
        <w:rPr>
          <w:rFonts w:cstheme="minorHAnsi"/>
          <w:sz w:val="20"/>
          <w:szCs w:val="20"/>
        </w:rPr>
        <w:t xml:space="preserve"> or via a subaward/subcontract to SAO from any other entity using federal funds.  </w:t>
      </w:r>
      <w:r w:rsidR="00D57525" w:rsidRPr="00E47B3D">
        <w:rPr>
          <w:rFonts w:cstheme="minorHAnsi"/>
          <w:sz w:val="20"/>
          <w:szCs w:val="20"/>
        </w:rPr>
        <w:t>The Uniform Guidance can be accessed here:</w:t>
      </w:r>
    </w:p>
    <w:p w14:paraId="2173A147" w14:textId="77777777" w:rsidR="00D57525" w:rsidRPr="00E47B3D" w:rsidRDefault="00D57525">
      <w:pPr>
        <w:rPr>
          <w:rFonts w:cstheme="minorHAnsi"/>
          <w:sz w:val="20"/>
          <w:szCs w:val="20"/>
        </w:rPr>
      </w:pPr>
    </w:p>
    <w:p w14:paraId="2192CE5C" w14:textId="77777777" w:rsidR="00D57525" w:rsidRPr="00E47B3D" w:rsidRDefault="00E83203" w:rsidP="00D57525">
      <w:pPr>
        <w:rPr>
          <w:rFonts w:cstheme="minorHAnsi"/>
          <w:sz w:val="20"/>
          <w:szCs w:val="20"/>
        </w:rPr>
      </w:pPr>
      <w:hyperlink r:id="rId6" w:history="1">
        <w:r w:rsidR="00D57525" w:rsidRPr="00E47B3D">
          <w:rPr>
            <w:rStyle w:val="Hyperlink"/>
            <w:rFonts w:cstheme="minorHAnsi"/>
            <w:sz w:val="20"/>
            <w:szCs w:val="20"/>
          </w:rPr>
          <w:t>https://www.ecfr.gov/cgi-bin/text-idx?node=2:1.1.2.2.1</w:t>
        </w:r>
      </w:hyperlink>
    </w:p>
    <w:p w14:paraId="4C88211C" w14:textId="77777777" w:rsidR="00D57525" w:rsidRDefault="00D57525" w:rsidP="00D57525">
      <w:pPr>
        <w:rPr>
          <w:rFonts w:cstheme="minorHAnsi"/>
          <w:sz w:val="20"/>
          <w:szCs w:val="20"/>
        </w:rPr>
      </w:pPr>
      <w:r w:rsidRPr="00E47B3D">
        <w:rPr>
          <w:rFonts w:cstheme="minorHAnsi"/>
          <w:sz w:val="20"/>
          <w:szCs w:val="20"/>
        </w:rPr>
        <w:t xml:space="preserve"> </w:t>
      </w:r>
    </w:p>
    <w:p w14:paraId="4EB4B5C8" w14:textId="007AB016" w:rsidR="00322CD4" w:rsidRPr="00E47B3D" w:rsidRDefault="00D57525" w:rsidP="00D57525">
      <w:pPr>
        <w:rPr>
          <w:rFonts w:cstheme="minorHAnsi"/>
          <w:sz w:val="20"/>
          <w:szCs w:val="20"/>
        </w:rPr>
      </w:pPr>
      <w:r w:rsidRPr="00E47B3D">
        <w:rPr>
          <w:rFonts w:cstheme="minorHAnsi"/>
          <w:sz w:val="20"/>
          <w:szCs w:val="20"/>
        </w:rPr>
        <w:t xml:space="preserve">In order for costs to be charged to </w:t>
      </w:r>
      <w:r w:rsidR="00322CD4" w:rsidRPr="00E47B3D">
        <w:rPr>
          <w:rFonts w:cstheme="minorHAnsi"/>
          <w:sz w:val="20"/>
          <w:szCs w:val="20"/>
        </w:rPr>
        <w:t xml:space="preserve">federal awards, the expense must meet four general principles; the expense must be (1) allowable, (2) allocable, (3) reasonable, and (4) consistently charged as either a direct cost or indirect cost. </w:t>
      </w:r>
    </w:p>
    <w:p w14:paraId="4C2C38FE" w14:textId="76A8EC0E" w:rsidR="00D57525" w:rsidRPr="00E47B3D" w:rsidRDefault="00322CD4" w:rsidP="0028365B">
      <w:pPr>
        <w:pStyle w:val="ListParagraph"/>
        <w:numPr>
          <w:ilvl w:val="0"/>
          <w:numId w:val="1"/>
        </w:numPr>
        <w:spacing w:before="240" w:after="120"/>
        <w:contextualSpacing w:val="0"/>
        <w:rPr>
          <w:rFonts w:cstheme="minorHAnsi"/>
          <w:sz w:val="20"/>
          <w:szCs w:val="20"/>
        </w:rPr>
      </w:pPr>
      <w:r w:rsidRPr="00E47B3D">
        <w:rPr>
          <w:rFonts w:cstheme="minorHAnsi"/>
          <w:sz w:val="20"/>
          <w:szCs w:val="20"/>
          <w:u w:val="single"/>
        </w:rPr>
        <w:t>Allowable</w:t>
      </w:r>
      <w:r w:rsidRPr="00E47B3D">
        <w:rPr>
          <w:rFonts w:cstheme="minorHAnsi"/>
          <w:sz w:val="20"/>
          <w:szCs w:val="20"/>
        </w:rPr>
        <w:t xml:space="preserve">: A cost is allowable when it serves </w:t>
      </w:r>
      <w:r w:rsidR="006B702E" w:rsidRPr="00E47B3D">
        <w:rPr>
          <w:rFonts w:cstheme="minorHAnsi"/>
          <w:sz w:val="20"/>
          <w:szCs w:val="20"/>
        </w:rPr>
        <w:t xml:space="preserve">a SAO business purpose, is permissible under Smithsonian policy and federal regulations, and is permissible under the terms and conditions of the specific award being charged.  Other factors affecting the allowability of cost under UG are set forth in 2 CFR </w:t>
      </w:r>
      <w:r w:rsidR="006B702E" w:rsidRPr="00E47B3D">
        <w:rPr>
          <w:rFonts w:eastAsia="Times New Roman" w:cstheme="minorHAnsi"/>
          <w:bCs/>
          <w:color w:val="000000"/>
          <w:sz w:val="20"/>
          <w:szCs w:val="20"/>
        </w:rPr>
        <w:t>§200.403.</w:t>
      </w:r>
    </w:p>
    <w:p w14:paraId="1B86F9B6" w14:textId="1BDE9E21" w:rsidR="006B702E" w:rsidRPr="00E47B3D" w:rsidRDefault="006B702E" w:rsidP="0028365B">
      <w:pPr>
        <w:pStyle w:val="ListParagraph"/>
        <w:numPr>
          <w:ilvl w:val="0"/>
          <w:numId w:val="1"/>
        </w:numPr>
        <w:spacing w:before="120" w:after="120"/>
        <w:contextualSpacing w:val="0"/>
        <w:rPr>
          <w:rFonts w:cstheme="minorHAnsi"/>
          <w:sz w:val="20"/>
          <w:szCs w:val="20"/>
        </w:rPr>
      </w:pPr>
      <w:r w:rsidRPr="00E47B3D">
        <w:rPr>
          <w:rFonts w:cstheme="minorHAnsi"/>
          <w:sz w:val="20"/>
          <w:szCs w:val="20"/>
          <w:u w:val="single"/>
        </w:rPr>
        <w:t>Allocable</w:t>
      </w:r>
      <w:r w:rsidRPr="00E47B3D">
        <w:rPr>
          <w:rFonts w:cstheme="minorHAnsi"/>
          <w:sz w:val="20"/>
          <w:szCs w:val="20"/>
        </w:rPr>
        <w:t xml:space="preserve">: A cost is allocable </w:t>
      </w:r>
      <w:r w:rsidRPr="00E47B3D">
        <w:rPr>
          <w:rFonts w:eastAsia="Times New Roman" w:cs="Arial"/>
          <w:color w:val="000000"/>
          <w:sz w:val="20"/>
          <w:szCs w:val="20"/>
          <w:shd w:val="clear" w:color="auto" w:fill="FFFFFF"/>
        </w:rPr>
        <w:t xml:space="preserve">to a particular </w:t>
      </w:r>
      <w:r w:rsidR="00CA4065" w:rsidRPr="00E47B3D">
        <w:rPr>
          <w:rFonts w:eastAsia="Times New Roman" w:cs="Arial"/>
          <w:color w:val="000000"/>
          <w:sz w:val="20"/>
          <w:szCs w:val="20"/>
          <w:shd w:val="clear" w:color="auto" w:fill="FFFFFF"/>
        </w:rPr>
        <w:t>f</w:t>
      </w:r>
      <w:r w:rsidRPr="00E47B3D">
        <w:rPr>
          <w:rFonts w:eastAsia="Times New Roman" w:cs="Arial"/>
          <w:color w:val="000000"/>
          <w:sz w:val="20"/>
          <w:szCs w:val="20"/>
          <w:shd w:val="clear" w:color="auto" w:fill="FFFFFF"/>
        </w:rPr>
        <w:t xml:space="preserve">ederal award if the goods or services involved are chargeable or assignable to that </w:t>
      </w:r>
      <w:r w:rsidR="00CA4065" w:rsidRPr="00E47B3D">
        <w:rPr>
          <w:rFonts w:eastAsia="Times New Roman" w:cs="Arial"/>
          <w:color w:val="000000"/>
          <w:sz w:val="20"/>
          <w:szCs w:val="20"/>
          <w:shd w:val="clear" w:color="auto" w:fill="FFFFFF"/>
        </w:rPr>
        <w:t>f</w:t>
      </w:r>
      <w:r w:rsidRPr="00E47B3D">
        <w:rPr>
          <w:rFonts w:eastAsia="Times New Roman" w:cs="Arial"/>
          <w:color w:val="000000"/>
          <w:sz w:val="20"/>
          <w:szCs w:val="20"/>
          <w:shd w:val="clear" w:color="auto" w:fill="FFFFFF"/>
        </w:rPr>
        <w:t>ederal award in accordance with relative benefits received</w:t>
      </w:r>
      <w:r w:rsidRPr="00E47B3D">
        <w:rPr>
          <w:rFonts w:cstheme="minorHAnsi"/>
          <w:sz w:val="20"/>
          <w:szCs w:val="20"/>
        </w:rPr>
        <w:t xml:space="preserve">. The standards to be met for allocability under UG are set forth in 2 CFR </w:t>
      </w:r>
      <w:r w:rsidRPr="00E47B3D">
        <w:rPr>
          <w:rFonts w:eastAsia="Times New Roman" w:cstheme="minorHAnsi"/>
          <w:bCs/>
          <w:color w:val="000000"/>
          <w:sz w:val="20"/>
          <w:szCs w:val="20"/>
        </w:rPr>
        <w:t>§200.405.</w:t>
      </w:r>
    </w:p>
    <w:p w14:paraId="3AB9E7EE" w14:textId="4877A23F" w:rsidR="006B702E" w:rsidRPr="00E47B3D" w:rsidRDefault="006B702E" w:rsidP="0028365B">
      <w:pPr>
        <w:pStyle w:val="ListParagraph"/>
        <w:numPr>
          <w:ilvl w:val="0"/>
          <w:numId w:val="1"/>
        </w:numPr>
        <w:spacing w:before="120" w:after="120"/>
        <w:contextualSpacing w:val="0"/>
        <w:rPr>
          <w:rFonts w:cstheme="minorHAnsi"/>
          <w:sz w:val="20"/>
          <w:szCs w:val="20"/>
        </w:rPr>
      </w:pPr>
      <w:r w:rsidRPr="00E47B3D">
        <w:rPr>
          <w:rFonts w:cstheme="minorHAnsi"/>
          <w:sz w:val="20"/>
          <w:szCs w:val="20"/>
          <w:u w:val="single"/>
        </w:rPr>
        <w:t>Reasonable</w:t>
      </w:r>
      <w:r w:rsidRPr="00E47B3D">
        <w:rPr>
          <w:rFonts w:cstheme="minorHAnsi"/>
          <w:sz w:val="20"/>
          <w:szCs w:val="20"/>
        </w:rPr>
        <w:t xml:space="preserve">: </w:t>
      </w:r>
      <w:r w:rsidR="00CA4065" w:rsidRPr="00E47B3D">
        <w:rPr>
          <w:rFonts w:cstheme="minorHAnsi"/>
          <w:sz w:val="20"/>
          <w:szCs w:val="20"/>
        </w:rPr>
        <w:t xml:space="preserve">A cost </w:t>
      </w:r>
      <w:r w:rsidR="00CA4065" w:rsidRPr="00E47B3D">
        <w:rPr>
          <w:rFonts w:eastAsia="Times New Roman" w:cs="Arial"/>
          <w:color w:val="000000"/>
          <w:sz w:val="20"/>
          <w:szCs w:val="20"/>
          <w:shd w:val="clear" w:color="auto" w:fill="FFFFFF"/>
        </w:rPr>
        <w:t xml:space="preserve">is reasonable if, in its nature and amount, it does not exceed that which would be incurred by a prudent person under the circumstances prevailing at the time the decision was made to incur the cost. Those factors that should be considered in determining reasonableness of a given costs under </w:t>
      </w:r>
      <w:r w:rsidR="00CA4065" w:rsidRPr="00E47B3D">
        <w:rPr>
          <w:rFonts w:cstheme="minorHAnsi"/>
          <w:sz w:val="20"/>
          <w:szCs w:val="20"/>
        </w:rPr>
        <w:t xml:space="preserve">UG are set forth in 2 CFR </w:t>
      </w:r>
      <w:r w:rsidR="00CA4065" w:rsidRPr="00E47B3D">
        <w:rPr>
          <w:rFonts w:eastAsia="Times New Roman" w:cstheme="minorHAnsi"/>
          <w:bCs/>
          <w:color w:val="000000"/>
          <w:sz w:val="20"/>
          <w:szCs w:val="20"/>
        </w:rPr>
        <w:t>§200.404.</w:t>
      </w:r>
    </w:p>
    <w:p w14:paraId="30981764" w14:textId="3A9A10AB" w:rsidR="00CA4065" w:rsidRPr="00E47B3D" w:rsidRDefault="00144BBA" w:rsidP="0028365B">
      <w:pPr>
        <w:pStyle w:val="ListParagraph"/>
        <w:numPr>
          <w:ilvl w:val="0"/>
          <w:numId w:val="1"/>
        </w:numPr>
        <w:spacing w:before="120" w:after="120"/>
        <w:contextualSpacing w:val="0"/>
        <w:rPr>
          <w:rFonts w:cstheme="minorHAnsi"/>
          <w:sz w:val="20"/>
          <w:szCs w:val="20"/>
        </w:rPr>
      </w:pPr>
      <w:r w:rsidRPr="00E47B3D">
        <w:rPr>
          <w:rFonts w:cstheme="minorHAnsi"/>
          <w:sz w:val="20"/>
          <w:szCs w:val="20"/>
          <w:u w:val="single"/>
        </w:rPr>
        <w:t>Consistent</w:t>
      </w:r>
      <w:r w:rsidRPr="00E47B3D">
        <w:rPr>
          <w:rFonts w:cstheme="minorHAnsi"/>
          <w:sz w:val="20"/>
          <w:szCs w:val="20"/>
        </w:rPr>
        <w:t xml:space="preserve">: A cost </w:t>
      </w:r>
      <w:r w:rsidR="00E64FDF" w:rsidRPr="00E47B3D">
        <w:rPr>
          <w:rFonts w:eastAsia="Times New Roman" w:cs="Times New Roman"/>
          <w:sz w:val="20"/>
          <w:szCs w:val="20"/>
        </w:rPr>
        <w:t xml:space="preserve">is </w:t>
      </w:r>
      <w:r w:rsidR="00E64FDF" w:rsidRPr="00E47B3D">
        <w:rPr>
          <w:rFonts w:eastAsia="Times New Roman" w:cs="Times New Roman"/>
          <w:bCs/>
          <w:sz w:val="20"/>
          <w:szCs w:val="20"/>
        </w:rPr>
        <w:t>consistent</w:t>
      </w:r>
      <w:r w:rsidR="00E64FDF" w:rsidRPr="00E47B3D">
        <w:rPr>
          <w:rFonts w:eastAsia="Times New Roman" w:cs="Times New Roman"/>
          <w:b/>
          <w:bCs/>
          <w:sz w:val="20"/>
          <w:szCs w:val="20"/>
        </w:rPr>
        <w:t xml:space="preserve"> </w:t>
      </w:r>
      <w:r w:rsidR="00E64FDF" w:rsidRPr="00E47B3D">
        <w:rPr>
          <w:rFonts w:eastAsia="Times New Roman" w:cs="Times New Roman"/>
          <w:sz w:val="20"/>
          <w:szCs w:val="20"/>
        </w:rPr>
        <w:t xml:space="preserve">when like expenses are treated in the same manner in like circumstances. For sponsored projects, consistency means that sponsors pay for costs either as a direct charge or as an indirect cost, but not both directly and indirectly. Institution policies are established that, if followed, ensure consistency with the </w:t>
      </w:r>
      <w:r w:rsidR="008C6D13" w:rsidRPr="00E47B3D">
        <w:rPr>
          <w:rFonts w:eastAsia="Times New Roman" w:cs="Times New Roman"/>
          <w:sz w:val="20"/>
          <w:szCs w:val="20"/>
        </w:rPr>
        <w:t>principles for consistency as</w:t>
      </w:r>
      <w:r w:rsidR="00E64FDF" w:rsidRPr="00E47B3D">
        <w:rPr>
          <w:rFonts w:eastAsia="Times New Roman" w:cs="Times New Roman"/>
          <w:sz w:val="20"/>
          <w:szCs w:val="20"/>
        </w:rPr>
        <w:t xml:space="preserve"> set forth in the UG, </w:t>
      </w:r>
      <w:r w:rsidR="00E64FDF" w:rsidRPr="00E47B3D">
        <w:rPr>
          <w:rFonts w:cstheme="minorHAnsi"/>
          <w:sz w:val="20"/>
          <w:szCs w:val="20"/>
        </w:rPr>
        <w:t xml:space="preserve">2 CFR </w:t>
      </w:r>
      <w:r w:rsidR="00E64FDF" w:rsidRPr="00E47B3D">
        <w:rPr>
          <w:rFonts w:eastAsia="Times New Roman" w:cstheme="minorHAnsi"/>
          <w:bCs/>
          <w:color w:val="000000"/>
          <w:sz w:val="20"/>
          <w:szCs w:val="20"/>
        </w:rPr>
        <w:t>§200.403</w:t>
      </w:r>
      <w:r w:rsidR="008C6D13" w:rsidRPr="00E47B3D">
        <w:rPr>
          <w:rFonts w:eastAsia="Times New Roman" w:cstheme="minorHAnsi"/>
          <w:bCs/>
          <w:color w:val="000000"/>
          <w:sz w:val="20"/>
          <w:szCs w:val="20"/>
        </w:rPr>
        <w:t>(c)</w:t>
      </w:r>
      <w:r w:rsidR="00E64FDF" w:rsidRPr="00E47B3D">
        <w:rPr>
          <w:rFonts w:eastAsia="Times New Roman" w:cstheme="minorHAnsi"/>
          <w:bCs/>
          <w:color w:val="000000"/>
          <w:sz w:val="20"/>
          <w:szCs w:val="20"/>
        </w:rPr>
        <w:t>.</w:t>
      </w:r>
    </w:p>
    <w:p w14:paraId="47F47D5A" w14:textId="77777777" w:rsidR="00D57525" w:rsidRPr="00E47B3D" w:rsidRDefault="00D57525">
      <w:pPr>
        <w:rPr>
          <w:sz w:val="20"/>
          <w:szCs w:val="20"/>
        </w:rPr>
      </w:pPr>
    </w:p>
    <w:p w14:paraId="00290002" w14:textId="6050AB28" w:rsidR="00430499" w:rsidRPr="00E47B3D" w:rsidRDefault="00430499">
      <w:pPr>
        <w:rPr>
          <w:rFonts w:eastAsia="Times New Roman" w:cs="Times New Roman"/>
          <w:sz w:val="20"/>
          <w:szCs w:val="20"/>
        </w:rPr>
      </w:pPr>
    </w:p>
    <w:p w14:paraId="11C307DC" w14:textId="0C2788F7" w:rsidR="009D3DCB" w:rsidRPr="00A85E72" w:rsidRDefault="009D3DCB">
      <w:pPr>
        <w:rPr>
          <w:sz w:val="20"/>
          <w:szCs w:val="20"/>
          <w:u w:val="single"/>
        </w:rPr>
      </w:pPr>
      <w:r w:rsidRPr="00A85E72">
        <w:rPr>
          <w:sz w:val="20"/>
          <w:szCs w:val="20"/>
          <w:u w:val="single"/>
        </w:rPr>
        <w:t>Unallowable Costs</w:t>
      </w:r>
    </w:p>
    <w:p w14:paraId="43A80680" w14:textId="77777777" w:rsidR="00026AAA" w:rsidRPr="00E47B3D" w:rsidRDefault="00026AAA" w:rsidP="00026AAA">
      <w:pPr>
        <w:shd w:val="clear" w:color="auto" w:fill="FFFFFF"/>
        <w:spacing w:before="100" w:beforeAutospacing="1" w:after="100" w:afterAutospacing="1"/>
        <w:rPr>
          <w:rFonts w:eastAsia="Times New Roman" w:cs="Times New Roman"/>
          <w:sz w:val="20"/>
          <w:szCs w:val="20"/>
        </w:rPr>
      </w:pPr>
      <w:r w:rsidRPr="00E47B3D">
        <w:rPr>
          <w:rFonts w:eastAsia="Times New Roman" w:cs="Times New Roman"/>
          <w:sz w:val="20"/>
          <w:szCs w:val="20"/>
        </w:rPr>
        <w:t xml:space="preserve">Costs reimbursed by the federal government are specifically unallowable under two general conditions: </w:t>
      </w:r>
    </w:p>
    <w:p w14:paraId="200E2F5F" w14:textId="08155D7B" w:rsidR="00026AAA" w:rsidRPr="00E47B3D" w:rsidRDefault="00026AAA" w:rsidP="00026AAA">
      <w:pPr>
        <w:shd w:val="clear" w:color="auto" w:fill="FFFFFF"/>
        <w:spacing w:before="100" w:beforeAutospacing="1" w:after="100" w:afterAutospacing="1"/>
        <w:rPr>
          <w:rFonts w:eastAsia="Times New Roman" w:cs="Times New Roman"/>
          <w:sz w:val="20"/>
          <w:szCs w:val="20"/>
        </w:rPr>
      </w:pPr>
      <w:r w:rsidRPr="00E47B3D">
        <w:rPr>
          <w:rFonts w:eastAsia="Times New Roman" w:cs="Times New Roman"/>
          <w:b/>
          <w:bCs/>
          <w:sz w:val="20"/>
          <w:szCs w:val="20"/>
        </w:rPr>
        <w:t xml:space="preserve">The </w:t>
      </w:r>
      <w:r w:rsidRPr="00E47B3D">
        <w:rPr>
          <w:rFonts w:eastAsia="Times New Roman" w:cs="Times New Roman"/>
          <w:b/>
          <w:bCs/>
          <w:i/>
          <w:iCs/>
          <w:sz w:val="20"/>
          <w:szCs w:val="20"/>
        </w:rPr>
        <w:t xml:space="preserve">activity </w:t>
      </w:r>
      <w:r w:rsidRPr="00E47B3D">
        <w:rPr>
          <w:rFonts w:eastAsia="Times New Roman" w:cs="Times New Roman"/>
          <w:b/>
          <w:bCs/>
          <w:sz w:val="20"/>
          <w:szCs w:val="20"/>
        </w:rPr>
        <w:t xml:space="preserve">is unallowable – </w:t>
      </w:r>
      <w:r w:rsidRPr="00E47B3D">
        <w:rPr>
          <w:rFonts w:eastAsia="Times New Roman" w:cs="Times New Roman"/>
          <w:sz w:val="20"/>
          <w:szCs w:val="20"/>
        </w:rPr>
        <w:t>the function is prohibited for reim</w:t>
      </w:r>
      <w:r w:rsidR="00E47B3D" w:rsidRPr="00E47B3D">
        <w:rPr>
          <w:rFonts w:eastAsia="Times New Roman" w:cs="Times New Roman"/>
          <w:sz w:val="20"/>
          <w:szCs w:val="20"/>
        </w:rPr>
        <w:t>bursement by federal regulation;</w:t>
      </w:r>
      <w:r w:rsidRPr="00E47B3D">
        <w:rPr>
          <w:rFonts w:eastAsia="Times New Roman" w:cs="Times New Roman"/>
          <w:sz w:val="20"/>
          <w:szCs w:val="20"/>
        </w:rPr>
        <w:t xml:space="preserve"> </w:t>
      </w:r>
      <w:r w:rsidRPr="00692A6F">
        <w:rPr>
          <w:rFonts w:eastAsia="Times New Roman" w:cs="Times New Roman"/>
          <w:sz w:val="20"/>
          <w:szCs w:val="20"/>
          <w:u w:val="single"/>
        </w:rPr>
        <w:t>or</w:t>
      </w:r>
      <w:r w:rsidRPr="00E47B3D">
        <w:rPr>
          <w:rFonts w:eastAsia="Times New Roman" w:cs="Times New Roman"/>
          <w:sz w:val="20"/>
          <w:szCs w:val="20"/>
        </w:rPr>
        <w:br/>
      </w:r>
      <w:r w:rsidRPr="00E47B3D">
        <w:rPr>
          <w:rFonts w:eastAsia="Times New Roman" w:cs="Times New Roman"/>
          <w:b/>
          <w:bCs/>
          <w:sz w:val="20"/>
          <w:szCs w:val="20"/>
        </w:rPr>
        <w:t xml:space="preserve">The </w:t>
      </w:r>
      <w:r w:rsidRPr="00E47B3D">
        <w:rPr>
          <w:rFonts w:eastAsia="Times New Roman" w:cs="Times New Roman"/>
          <w:b/>
          <w:bCs/>
          <w:i/>
          <w:iCs/>
          <w:sz w:val="20"/>
          <w:szCs w:val="20"/>
        </w:rPr>
        <w:t xml:space="preserve">transaction </w:t>
      </w:r>
      <w:r w:rsidRPr="00E47B3D">
        <w:rPr>
          <w:rFonts w:eastAsia="Times New Roman" w:cs="Times New Roman"/>
          <w:b/>
          <w:bCs/>
          <w:sz w:val="20"/>
          <w:szCs w:val="20"/>
        </w:rPr>
        <w:t xml:space="preserve">is unallowable – </w:t>
      </w:r>
      <w:r w:rsidRPr="00E47B3D">
        <w:rPr>
          <w:rFonts w:eastAsia="Times New Roman" w:cs="Times New Roman"/>
          <w:sz w:val="20"/>
          <w:szCs w:val="20"/>
        </w:rPr>
        <w:t xml:space="preserve">the expenditure itself is for an item that is prohibited under the cost principles of the Uniform Guidance (UG), even if it is otherwise allowable with other </w:t>
      </w:r>
      <w:r w:rsidR="00442B41">
        <w:rPr>
          <w:rFonts w:eastAsia="Times New Roman" w:cs="Times New Roman"/>
          <w:sz w:val="20"/>
          <w:szCs w:val="20"/>
        </w:rPr>
        <w:t>Smithsonian</w:t>
      </w:r>
      <w:r w:rsidRPr="00E47B3D">
        <w:rPr>
          <w:rFonts w:eastAsia="Times New Roman" w:cs="Times New Roman"/>
          <w:sz w:val="20"/>
          <w:szCs w:val="20"/>
        </w:rPr>
        <w:t xml:space="preserve"> funds.</w:t>
      </w:r>
    </w:p>
    <w:p w14:paraId="7C6D9742" w14:textId="0591DDE2" w:rsidR="009D3DCB" w:rsidRPr="00E47B3D" w:rsidRDefault="009D3DCB" w:rsidP="009D3DCB">
      <w:pPr>
        <w:shd w:val="clear" w:color="auto" w:fill="FFFFFF"/>
        <w:spacing w:before="100" w:beforeAutospacing="1" w:after="100" w:afterAutospacing="1"/>
        <w:rPr>
          <w:rFonts w:eastAsia="Times New Roman" w:cs="Times New Roman"/>
          <w:sz w:val="20"/>
          <w:szCs w:val="20"/>
        </w:rPr>
      </w:pPr>
      <w:r w:rsidRPr="00E47B3D">
        <w:rPr>
          <w:rFonts w:eastAsia="Times New Roman" w:cs="Times New Roman"/>
          <w:sz w:val="20"/>
          <w:szCs w:val="20"/>
        </w:rPr>
        <w:t xml:space="preserve">Unallowable costs may also be identified in the specific terms and conditions of a sponsored project. These can be more specific than those outlined in the </w:t>
      </w:r>
      <w:r w:rsidR="00026AAA" w:rsidRPr="00E47B3D">
        <w:rPr>
          <w:rFonts w:eastAsia="Times New Roman" w:cs="Times New Roman"/>
          <w:sz w:val="20"/>
          <w:szCs w:val="20"/>
        </w:rPr>
        <w:t>UG</w:t>
      </w:r>
      <w:r w:rsidRPr="00E47B3D">
        <w:rPr>
          <w:rFonts w:eastAsia="Times New Roman" w:cs="Times New Roman"/>
          <w:sz w:val="20"/>
          <w:szCs w:val="20"/>
        </w:rPr>
        <w:t xml:space="preserve">. For example, if a </w:t>
      </w:r>
      <w:r w:rsidR="00026AAA" w:rsidRPr="00E47B3D">
        <w:rPr>
          <w:rFonts w:eastAsia="Times New Roman" w:cs="Times New Roman"/>
          <w:sz w:val="20"/>
          <w:szCs w:val="20"/>
        </w:rPr>
        <w:t>specific award</w:t>
      </w:r>
      <w:r w:rsidRPr="00E47B3D">
        <w:rPr>
          <w:rFonts w:eastAsia="Times New Roman" w:cs="Times New Roman"/>
          <w:sz w:val="20"/>
          <w:szCs w:val="20"/>
        </w:rPr>
        <w:t xml:space="preserve"> </w:t>
      </w:r>
      <w:r w:rsidR="00026AAA" w:rsidRPr="00E47B3D">
        <w:rPr>
          <w:rFonts w:eastAsia="Times New Roman" w:cs="Times New Roman"/>
          <w:sz w:val="20"/>
          <w:szCs w:val="20"/>
        </w:rPr>
        <w:t>indicates</w:t>
      </w:r>
      <w:r w:rsidRPr="00E47B3D">
        <w:rPr>
          <w:rFonts w:eastAsia="Times New Roman" w:cs="Times New Roman"/>
          <w:sz w:val="20"/>
          <w:szCs w:val="20"/>
        </w:rPr>
        <w:t xml:space="preserve"> that international travel costs cannot be charged to a particular project, then those costs may not be charged to that project, even though </w:t>
      </w:r>
      <w:r w:rsidR="00026AAA" w:rsidRPr="00E47B3D">
        <w:rPr>
          <w:rFonts w:eastAsia="Times New Roman" w:cs="Times New Roman"/>
          <w:sz w:val="20"/>
          <w:szCs w:val="20"/>
        </w:rPr>
        <w:t>they may be allowed under the</w:t>
      </w:r>
      <w:r w:rsidRPr="00E47B3D">
        <w:rPr>
          <w:rFonts w:eastAsia="Times New Roman" w:cs="Times New Roman"/>
          <w:sz w:val="20"/>
          <w:szCs w:val="20"/>
        </w:rPr>
        <w:t xml:space="preserve"> </w:t>
      </w:r>
      <w:r w:rsidR="00026AAA" w:rsidRPr="00E47B3D">
        <w:rPr>
          <w:rFonts w:eastAsia="Times New Roman" w:cs="Times New Roman"/>
          <w:sz w:val="20"/>
          <w:szCs w:val="20"/>
        </w:rPr>
        <w:t>UG</w:t>
      </w:r>
      <w:r w:rsidRPr="00E47B3D">
        <w:rPr>
          <w:rFonts w:eastAsia="Times New Roman" w:cs="Times New Roman"/>
          <w:sz w:val="20"/>
          <w:szCs w:val="20"/>
        </w:rPr>
        <w:t>.</w:t>
      </w:r>
      <w:r w:rsidR="00026AAA" w:rsidRPr="00E47B3D">
        <w:rPr>
          <w:rFonts w:eastAsia="Times New Roman" w:cs="Times New Roman"/>
          <w:sz w:val="20"/>
          <w:szCs w:val="20"/>
        </w:rPr>
        <w:t xml:space="preserve">  The award terms take precedence</w:t>
      </w:r>
      <w:r w:rsidR="00442B41">
        <w:rPr>
          <w:rFonts w:eastAsia="Times New Roman" w:cs="Times New Roman"/>
          <w:sz w:val="20"/>
          <w:szCs w:val="20"/>
        </w:rPr>
        <w:t xml:space="preserve"> in such situations</w:t>
      </w:r>
      <w:r w:rsidR="00026AAA" w:rsidRPr="00E47B3D">
        <w:rPr>
          <w:rFonts w:eastAsia="Times New Roman" w:cs="Times New Roman"/>
          <w:sz w:val="20"/>
          <w:szCs w:val="20"/>
        </w:rPr>
        <w:t>.</w:t>
      </w:r>
      <w:r w:rsidRPr="00E47B3D">
        <w:rPr>
          <w:rFonts w:eastAsia="Times New Roman" w:cs="Times New Roman"/>
          <w:sz w:val="20"/>
          <w:szCs w:val="20"/>
        </w:rPr>
        <w:t xml:space="preserve"> </w:t>
      </w:r>
    </w:p>
    <w:p w14:paraId="52AF436F" w14:textId="54488470" w:rsidR="009D3DCB" w:rsidRPr="00E47B3D" w:rsidRDefault="009D3DCB" w:rsidP="00026AAA">
      <w:pPr>
        <w:shd w:val="clear" w:color="auto" w:fill="FFFFFF"/>
        <w:spacing w:before="100" w:beforeAutospacing="1" w:after="100" w:afterAutospacing="1"/>
        <w:rPr>
          <w:rFonts w:eastAsia="Times New Roman" w:cs="Arial"/>
          <w:color w:val="000000"/>
          <w:sz w:val="20"/>
          <w:szCs w:val="20"/>
        </w:rPr>
      </w:pPr>
      <w:r w:rsidRPr="003C79DF">
        <w:rPr>
          <w:rFonts w:eastAsia="Times New Roman" w:cs="Arial"/>
          <w:color w:val="000000"/>
          <w:sz w:val="20"/>
          <w:szCs w:val="20"/>
        </w:rPr>
        <w:t>Payments made for costs determined to be unallowable by either the Federal awarding agency, cognizant agency for indirect costs, or pass-through entity</w:t>
      </w:r>
      <w:r w:rsidR="00026AAA" w:rsidRPr="00E47B3D">
        <w:rPr>
          <w:rFonts w:eastAsia="Times New Roman" w:cs="Arial"/>
          <w:color w:val="000000"/>
          <w:sz w:val="20"/>
          <w:szCs w:val="20"/>
        </w:rPr>
        <w:t xml:space="preserve"> (i.e. prime recipient where SAO is a subrecipient)</w:t>
      </w:r>
      <w:r w:rsidRPr="003C79DF">
        <w:rPr>
          <w:rFonts w:eastAsia="Times New Roman" w:cs="Arial"/>
          <w:color w:val="000000"/>
          <w:sz w:val="20"/>
          <w:szCs w:val="20"/>
        </w:rPr>
        <w:t>, either as direct or indirect costs, must be refunded (including interest) to the Federal Government in accordance with instructions from the Federal agency that determined the costs are unallowable unless Federal statute o</w:t>
      </w:r>
      <w:r w:rsidR="00026AAA" w:rsidRPr="00E47B3D">
        <w:rPr>
          <w:rFonts w:eastAsia="Times New Roman" w:cs="Arial"/>
          <w:color w:val="000000"/>
          <w:sz w:val="20"/>
          <w:szCs w:val="20"/>
        </w:rPr>
        <w:t>r regulation directs otherwise.</w:t>
      </w:r>
      <w:r w:rsidR="00DC241C">
        <w:rPr>
          <w:rFonts w:eastAsia="Times New Roman" w:cs="Arial"/>
          <w:color w:val="000000"/>
          <w:sz w:val="20"/>
          <w:szCs w:val="20"/>
        </w:rPr>
        <w:t xml:space="preserve">  In order to minimize</w:t>
      </w:r>
      <w:r w:rsidR="008A2FCD">
        <w:rPr>
          <w:rFonts w:eastAsia="Times New Roman" w:cs="Arial"/>
          <w:color w:val="000000"/>
          <w:sz w:val="20"/>
          <w:szCs w:val="20"/>
        </w:rPr>
        <w:t xml:space="preserve"> the occurrence of any unallowable costs being incurred against federal awards, all planned expenditures (requisitions, travel authorizations, petty cash transactions) are reviewed by and must be approved by SAO Financial Management prior to the expense being incurred and charged against a federal award.</w:t>
      </w:r>
    </w:p>
    <w:p w14:paraId="38B93527" w14:textId="68CB5A21" w:rsidR="009D3DCB" w:rsidRPr="00E47B3D" w:rsidRDefault="00E47B3D" w:rsidP="009D3DCB">
      <w:pPr>
        <w:shd w:val="clear" w:color="auto" w:fill="FFFFFF"/>
        <w:spacing w:before="100" w:beforeAutospacing="1" w:after="100" w:afterAutospacing="1"/>
        <w:rPr>
          <w:rFonts w:eastAsia="Times New Roman" w:cs="Times New Roman"/>
          <w:sz w:val="20"/>
          <w:szCs w:val="20"/>
        </w:rPr>
      </w:pPr>
      <w:r w:rsidRPr="00E47B3D">
        <w:rPr>
          <w:rFonts w:eastAsia="Times New Roman" w:cs="Times New Roman"/>
          <w:b/>
          <w:sz w:val="20"/>
          <w:szCs w:val="20"/>
        </w:rPr>
        <w:lastRenderedPageBreak/>
        <w:t>Unallowable A</w:t>
      </w:r>
      <w:r w:rsidR="009D3DCB" w:rsidRPr="00E47B3D">
        <w:rPr>
          <w:rFonts w:eastAsia="Times New Roman" w:cs="Times New Roman"/>
          <w:b/>
          <w:sz w:val="20"/>
          <w:szCs w:val="20"/>
        </w:rPr>
        <w:t>ctivities</w:t>
      </w:r>
      <w:r w:rsidR="009D3DCB" w:rsidRPr="00E47B3D">
        <w:rPr>
          <w:rFonts w:eastAsia="Times New Roman" w:cs="Times New Roman"/>
          <w:sz w:val="20"/>
          <w:szCs w:val="20"/>
        </w:rPr>
        <w:t xml:space="preserve"> include: </w:t>
      </w:r>
    </w:p>
    <w:p w14:paraId="5854FDB6" w14:textId="77777777" w:rsidR="00E47B3D" w:rsidRPr="00E47B3D" w:rsidRDefault="009D3DCB" w:rsidP="00E47B3D">
      <w:pPr>
        <w:pStyle w:val="ListParagraph"/>
        <w:numPr>
          <w:ilvl w:val="0"/>
          <w:numId w:val="2"/>
        </w:numPr>
        <w:shd w:val="clear" w:color="auto" w:fill="FFFFFF"/>
        <w:rPr>
          <w:rFonts w:eastAsia="Times New Roman" w:cs="Times New Roman"/>
          <w:sz w:val="20"/>
          <w:szCs w:val="20"/>
        </w:rPr>
      </w:pPr>
      <w:r w:rsidRPr="00E47B3D">
        <w:rPr>
          <w:rFonts w:eastAsia="Times New Roman" w:cs="Times New Roman"/>
          <w:sz w:val="20"/>
          <w:szCs w:val="20"/>
        </w:rPr>
        <w:t>Organized fundraising</w:t>
      </w:r>
    </w:p>
    <w:p w14:paraId="11AF2CF0" w14:textId="4F96062F" w:rsidR="00E47B3D" w:rsidRPr="00E47B3D" w:rsidRDefault="00E47B3D" w:rsidP="00E47B3D">
      <w:pPr>
        <w:pStyle w:val="ListParagraph"/>
        <w:numPr>
          <w:ilvl w:val="0"/>
          <w:numId w:val="2"/>
        </w:numPr>
        <w:shd w:val="clear" w:color="auto" w:fill="FFFFFF"/>
        <w:rPr>
          <w:rFonts w:eastAsia="Times New Roman" w:cs="Times New Roman"/>
          <w:sz w:val="20"/>
          <w:szCs w:val="20"/>
        </w:rPr>
      </w:pPr>
      <w:r w:rsidRPr="00E47B3D">
        <w:rPr>
          <w:rFonts w:eastAsia="Times New Roman" w:cs="Times New Roman"/>
          <w:sz w:val="20"/>
          <w:szCs w:val="20"/>
        </w:rPr>
        <w:t>Lobbying</w:t>
      </w:r>
    </w:p>
    <w:p w14:paraId="3A2F75EC" w14:textId="77777777" w:rsidR="00E47B3D" w:rsidRPr="00E47B3D" w:rsidRDefault="00E47B3D" w:rsidP="00E47B3D">
      <w:pPr>
        <w:pStyle w:val="ListParagraph"/>
        <w:numPr>
          <w:ilvl w:val="0"/>
          <w:numId w:val="2"/>
        </w:numPr>
        <w:shd w:val="clear" w:color="auto" w:fill="FFFFFF"/>
        <w:rPr>
          <w:rFonts w:eastAsia="Times New Roman" w:cs="Times New Roman"/>
          <w:sz w:val="20"/>
          <w:szCs w:val="20"/>
        </w:rPr>
      </w:pPr>
      <w:r w:rsidRPr="00E47B3D">
        <w:rPr>
          <w:rFonts w:eastAsia="Times New Roman" w:cs="Times New Roman"/>
          <w:sz w:val="20"/>
          <w:szCs w:val="20"/>
        </w:rPr>
        <w:t>General public relations</w:t>
      </w:r>
    </w:p>
    <w:p w14:paraId="03959703" w14:textId="77777777" w:rsidR="00E47B3D" w:rsidRPr="00E47B3D" w:rsidRDefault="009D3DCB" w:rsidP="00E47B3D">
      <w:pPr>
        <w:pStyle w:val="ListParagraph"/>
        <w:numPr>
          <w:ilvl w:val="0"/>
          <w:numId w:val="2"/>
        </w:numPr>
        <w:shd w:val="clear" w:color="auto" w:fill="FFFFFF"/>
        <w:rPr>
          <w:rFonts w:eastAsia="Times New Roman" w:cs="Times New Roman"/>
          <w:sz w:val="20"/>
          <w:szCs w:val="20"/>
        </w:rPr>
      </w:pPr>
      <w:r w:rsidRPr="00E47B3D">
        <w:rPr>
          <w:rFonts w:eastAsia="Times New Roman" w:cs="Times New Roman"/>
          <w:sz w:val="20"/>
          <w:szCs w:val="20"/>
        </w:rPr>
        <w:t>Managing inves</w:t>
      </w:r>
      <w:r w:rsidR="00E47B3D" w:rsidRPr="00E47B3D">
        <w:rPr>
          <w:rFonts w:eastAsia="Times New Roman" w:cs="Times New Roman"/>
          <w:sz w:val="20"/>
          <w:szCs w:val="20"/>
        </w:rPr>
        <w:t>tments solely to enhance income</w:t>
      </w:r>
    </w:p>
    <w:p w14:paraId="14846A2A" w14:textId="77777777" w:rsidR="00E47B3D" w:rsidRPr="00E47B3D" w:rsidRDefault="009D3DCB" w:rsidP="00E47B3D">
      <w:pPr>
        <w:pStyle w:val="ListParagraph"/>
        <w:numPr>
          <w:ilvl w:val="0"/>
          <w:numId w:val="2"/>
        </w:numPr>
        <w:shd w:val="clear" w:color="auto" w:fill="FFFFFF"/>
        <w:rPr>
          <w:rFonts w:eastAsia="Times New Roman" w:cs="Times New Roman"/>
          <w:sz w:val="20"/>
          <w:szCs w:val="20"/>
        </w:rPr>
      </w:pPr>
      <w:r w:rsidRPr="00E47B3D">
        <w:rPr>
          <w:rFonts w:eastAsia="Times New Roman" w:cs="Times New Roman"/>
          <w:sz w:val="20"/>
          <w:szCs w:val="20"/>
        </w:rPr>
        <w:t>Prosecuting claims</w:t>
      </w:r>
      <w:r w:rsidR="00E47B3D" w:rsidRPr="00E47B3D">
        <w:rPr>
          <w:rFonts w:eastAsia="Times New Roman" w:cs="Times New Roman"/>
          <w:sz w:val="20"/>
          <w:szCs w:val="20"/>
        </w:rPr>
        <w:t xml:space="preserve"> against the federal government</w:t>
      </w:r>
    </w:p>
    <w:p w14:paraId="34F299E0" w14:textId="77777777" w:rsidR="00E47B3D" w:rsidRPr="00E47B3D" w:rsidRDefault="009D3DCB" w:rsidP="00E47B3D">
      <w:pPr>
        <w:pStyle w:val="ListParagraph"/>
        <w:numPr>
          <w:ilvl w:val="0"/>
          <w:numId w:val="2"/>
        </w:numPr>
        <w:shd w:val="clear" w:color="auto" w:fill="FFFFFF"/>
        <w:rPr>
          <w:rFonts w:eastAsia="Times New Roman" w:cs="Times New Roman"/>
          <w:sz w:val="20"/>
          <w:szCs w:val="20"/>
        </w:rPr>
      </w:pPr>
      <w:r w:rsidRPr="00E47B3D">
        <w:rPr>
          <w:rFonts w:eastAsia="Times New Roman" w:cs="Times New Roman"/>
          <w:sz w:val="20"/>
          <w:szCs w:val="20"/>
        </w:rPr>
        <w:t>Defending or prosecuting certain criminal, civil</w:t>
      </w:r>
      <w:r w:rsidR="00E47B3D" w:rsidRPr="00E47B3D">
        <w:rPr>
          <w:rFonts w:eastAsia="Times New Roman" w:cs="Times New Roman"/>
          <w:sz w:val="20"/>
          <w:szCs w:val="20"/>
        </w:rPr>
        <w:t>, or administrative proceedings</w:t>
      </w:r>
    </w:p>
    <w:p w14:paraId="091CD666" w14:textId="5A05E8FC" w:rsidR="009D3DCB" w:rsidRPr="00E47B3D" w:rsidRDefault="009D3DCB" w:rsidP="00E47B3D">
      <w:pPr>
        <w:pStyle w:val="ListParagraph"/>
        <w:numPr>
          <w:ilvl w:val="0"/>
          <w:numId w:val="2"/>
        </w:numPr>
        <w:shd w:val="clear" w:color="auto" w:fill="FFFFFF"/>
        <w:rPr>
          <w:rFonts w:eastAsia="Times New Roman" w:cs="Times New Roman"/>
          <w:sz w:val="20"/>
          <w:szCs w:val="20"/>
        </w:rPr>
      </w:pPr>
      <w:r w:rsidRPr="00E47B3D">
        <w:rPr>
          <w:rFonts w:eastAsia="Times New Roman" w:cs="Times New Roman"/>
          <w:sz w:val="20"/>
          <w:szCs w:val="20"/>
        </w:rPr>
        <w:t xml:space="preserve">Selling or </w:t>
      </w:r>
      <w:r w:rsidR="00E47B3D" w:rsidRPr="00E47B3D">
        <w:rPr>
          <w:rFonts w:eastAsia="Times New Roman" w:cs="Times New Roman"/>
          <w:sz w:val="20"/>
          <w:szCs w:val="20"/>
        </w:rPr>
        <w:t>marketing of goods and services</w:t>
      </w:r>
    </w:p>
    <w:p w14:paraId="3259CEC3" w14:textId="134D1111" w:rsidR="009D3DCB" w:rsidRPr="00E47B3D" w:rsidRDefault="00E47B3D" w:rsidP="009D3DCB">
      <w:pPr>
        <w:shd w:val="clear" w:color="auto" w:fill="FFFFFF"/>
        <w:spacing w:before="100" w:beforeAutospacing="1" w:after="100" w:afterAutospacing="1"/>
        <w:rPr>
          <w:rFonts w:eastAsia="Times New Roman" w:cs="Times New Roman"/>
          <w:sz w:val="20"/>
          <w:szCs w:val="20"/>
        </w:rPr>
      </w:pPr>
      <w:r w:rsidRPr="00E47B3D">
        <w:rPr>
          <w:rFonts w:eastAsia="Times New Roman" w:cs="Times New Roman"/>
          <w:sz w:val="20"/>
          <w:szCs w:val="20"/>
        </w:rPr>
        <w:t xml:space="preserve">Common </w:t>
      </w:r>
      <w:r w:rsidRPr="00E47B3D">
        <w:rPr>
          <w:rFonts w:eastAsia="Times New Roman" w:cs="Times New Roman"/>
          <w:b/>
          <w:sz w:val="20"/>
          <w:szCs w:val="20"/>
        </w:rPr>
        <w:t>Unallowable T</w:t>
      </w:r>
      <w:r w:rsidR="009D3DCB" w:rsidRPr="00E47B3D">
        <w:rPr>
          <w:rFonts w:eastAsia="Times New Roman" w:cs="Times New Roman"/>
          <w:b/>
          <w:sz w:val="20"/>
          <w:szCs w:val="20"/>
        </w:rPr>
        <w:t>ransactions</w:t>
      </w:r>
      <w:r w:rsidR="009D3DCB" w:rsidRPr="00E47B3D">
        <w:rPr>
          <w:rFonts w:eastAsia="Times New Roman" w:cs="Times New Roman"/>
          <w:sz w:val="20"/>
          <w:szCs w:val="20"/>
        </w:rPr>
        <w:t xml:space="preserve"> include: </w:t>
      </w:r>
    </w:p>
    <w:p w14:paraId="34CC98CD" w14:textId="0234E691" w:rsidR="00E47B3D" w:rsidRPr="00E47B3D" w:rsidRDefault="009D3DCB" w:rsidP="00E47B3D">
      <w:pPr>
        <w:pStyle w:val="ListParagraph"/>
        <w:numPr>
          <w:ilvl w:val="0"/>
          <w:numId w:val="3"/>
        </w:numPr>
        <w:shd w:val="clear" w:color="auto" w:fill="FFFFFF"/>
        <w:rPr>
          <w:rFonts w:eastAsia="Times New Roman" w:cs="Times New Roman"/>
          <w:sz w:val="20"/>
          <w:szCs w:val="20"/>
        </w:rPr>
      </w:pPr>
      <w:r w:rsidRPr="00E47B3D">
        <w:rPr>
          <w:rFonts w:eastAsia="Times New Roman" w:cs="Times New Roman"/>
          <w:sz w:val="20"/>
          <w:szCs w:val="20"/>
        </w:rPr>
        <w:t>Advertising (on</w:t>
      </w:r>
      <w:r w:rsidR="00E47B3D" w:rsidRPr="00E47B3D">
        <w:rPr>
          <w:rFonts w:eastAsia="Times New Roman" w:cs="Times New Roman"/>
          <w:sz w:val="20"/>
          <w:szCs w:val="20"/>
        </w:rPr>
        <w:t>ly certain types are allowable)</w:t>
      </w:r>
      <w:r w:rsidR="00195CC7">
        <w:rPr>
          <w:rFonts w:eastAsia="Times New Roman" w:cs="Times New Roman"/>
          <w:sz w:val="20"/>
          <w:szCs w:val="20"/>
        </w:rPr>
        <w:t xml:space="preserve"> *</w:t>
      </w:r>
    </w:p>
    <w:p w14:paraId="07F3CBC2" w14:textId="77777777" w:rsidR="00E47B3D" w:rsidRDefault="00E47B3D" w:rsidP="00E47B3D">
      <w:pPr>
        <w:pStyle w:val="ListParagraph"/>
        <w:numPr>
          <w:ilvl w:val="0"/>
          <w:numId w:val="3"/>
        </w:numPr>
        <w:shd w:val="clear" w:color="auto" w:fill="FFFFFF"/>
        <w:rPr>
          <w:rFonts w:eastAsia="Times New Roman" w:cs="Times New Roman"/>
          <w:sz w:val="20"/>
          <w:szCs w:val="20"/>
        </w:rPr>
      </w:pPr>
      <w:r w:rsidRPr="00E47B3D">
        <w:rPr>
          <w:rFonts w:eastAsia="Times New Roman" w:cs="Times New Roman"/>
          <w:sz w:val="20"/>
          <w:szCs w:val="20"/>
        </w:rPr>
        <w:t>Alcoholic beverages</w:t>
      </w:r>
    </w:p>
    <w:p w14:paraId="4E5C2530" w14:textId="508DCE11" w:rsidR="00D23957" w:rsidRPr="00D23957" w:rsidRDefault="00D23957" w:rsidP="00D23957">
      <w:pPr>
        <w:pStyle w:val="ListParagraph"/>
        <w:numPr>
          <w:ilvl w:val="0"/>
          <w:numId w:val="3"/>
        </w:numPr>
        <w:shd w:val="clear" w:color="auto" w:fill="FFFFFF"/>
        <w:rPr>
          <w:rFonts w:eastAsia="Times New Roman" w:cs="Times New Roman"/>
          <w:sz w:val="20"/>
          <w:szCs w:val="20"/>
        </w:rPr>
      </w:pPr>
      <w:r>
        <w:rPr>
          <w:rFonts w:eastAsia="Times New Roman" w:cs="Times New Roman"/>
          <w:sz w:val="20"/>
          <w:szCs w:val="20"/>
        </w:rPr>
        <w:t>Contributions</w:t>
      </w:r>
      <w:r w:rsidRPr="00E47B3D">
        <w:rPr>
          <w:rFonts w:eastAsia="Times New Roman" w:cs="Times New Roman"/>
          <w:sz w:val="20"/>
          <w:szCs w:val="20"/>
        </w:rPr>
        <w:t xml:space="preserve"> </w:t>
      </w:r>
      <w:r>
        <w:rPr>
          <w:rFonts w:eastAsia="Times New Roman" w:cs="Times New Roman"/>
          <w:sz w:val="20"/>
          <w:szCs w:val="20"/>
        </w:rPr>
        <w:t xml:space="preserve">and </w:t>
      </w:r>
      <w:r w:rsidRPr="00E47B3D">
        <w:rPr>
          <w:rFonts w:eastAsia="Times New Roman" w:cs="Times New Roman"/>
          <w:sz w:val="20"/>
          <w:szCs w:val="20"/>
        </w:rPr>
        <w:t xml:space="preserve">donations to other parties, </w:t>
      </w:r>
      <w:r>
        <w:rPr>
          <w:rFonts w:eastAsia="Times New Roman" w:cs="Times New Roman"/>
          <w:sz w:val="20"/>
          <w:szCs w:val="20"/>
        </w:rPr>
        <w:t>including cash, property and services</w:t>
      </w:r>
      <w:r w:rsidRPr="00E47B3D">
        <w:rPr>
          <w:rFonts w:eastAsia="Times New Roman" w:cs="Times New Roman"/>
          <w:sz w:val="20"/>
          <w:szCs w:val="20"/>
        </w:rPr>
        <w:t xml:space="preserve"> </w:t>
      </w:r>
    </w:p>
    <w:p w14:paraId="1D53CD79" w14:textId="77777777" w:rsidR="00E47B3D" w:rsidRPr="00E47B3D" w:rsidRDefault="00E47B3D" w:rsidP="00E47B3D">
      <w:pPr>
        <w:pStyle w:val="ListParagraph"/>
        <w:numPr>
          <w:ilvl w:val="0"/>
          <w:numId w:val="3"/>
        </w:numPr>
        <w:shd w:val="clear" w:color="auto" w:fill="FFFFFF"/>
        <w:rPr>
          <w:rFonts w:eastAsia="Times New Roman" w:cs="Times New Roman"/>
          <w:sz w:val="20"/>
          <w:szCs w:val="20"/>
        </w:rPr>
      </w:pPr>
      <w:r w:rsidRPr="00E47B3D">
        <w:rPr>
          <w:rFonts w:eastAsia="Times New Roman" w:cs="Times New Roman"/>
          <w:sz w:val="20"/>
          <w:szCs w:val="20"/>
        </w:rPr>
        <w:t>Entertainment</w:t>
      </w:r>
    </w:p>
    <w:p w14:paraId="3E26F063" w14:textId="77777777" w:rsidR="00D23957" w:rsidRPr="00E47B3D" w:rsidRDefault="00D23957" w:rsidP="00D23957">
      <w:pPr>
        <w:pStyle w:val="ListParagraph"/>
        <w:numPr>
          <w:ilvl w:val="0"/>
          <w:numId w:val="3"/>
        </w:numPr>
        <w:shd w:val="clear" w:color="auto" w:fill="FFFFFF"/>
        <w:rPr>
          <w:rFonts w:eastAsia="Times New Roman" w:cs="Times New Roman"/>
          <w:sz w:val="20"/>
          <w:szCs w:val="20"/>
        </w:rPr>
      </w:pPr>
      <w:r w:rsidRPr="00E47B3D">
        <w:rPr>
          <w:rFonts w:eastAsia="Times New Roman" w:cs="Times New Roman"/>
          <w:sz w:val="20"/>
          <w:szCs w:val="20"/>
        </w:rPr>
        <w:t xml:space="preserve">Fines and penalties </w:t>
      </w:r>
      <w:r>
        <w:rPr>
          <w:rFonts w:eastAsia="Times New Roman" w:cs="Times New Roman"/>
          <w:sz w:val="20"/>
          <w:szCs w:val="20"/>
        </w:rPr>
        <w:t>for violations of laws and regulations</w:t>
      </w:r>
    </w:p>
    <w:p w14:paraId="7410D325" w14:textId="0C49803E" w:rsidR="00D23957" w:rsidRDefault="00D23957" w:rsidP="00D23957">
      <w:pPr>
        <w:pStyle w:val="ListParagraph"/>
        <w:numPr>
          <w:ilvl w:val="0"/>
          <w:numId w:val="3"/>
        </w:numPr>
        <w:shd w:val="clear" w:color="auto" w:fill="FFFFFF"/>
        <w:rPr>
          <w:rFonts w:eastAsia="Times New Roman" w:cs="Times New Roman"/>
          <w:sz w:val="20"/>
          <w:szCs w:val="20"/>
        </w:rPr>
      </w:pPr>
      <w:r>
        <w:rPr>
          <w:rFonts w:eastAsia="Times New Roman" w:cs="Times New Roman"/>
          <w:sz w:val="20"/>
          <w:szCs w:val="20"/>
        </w:rPr>
        <w:t>Fundraising costs</w:t>
      </w:r>
    </w:p>
    <w:p w14:paraId="3A5DE229" w14:textId="6C60A6C8" w:rsidR="009D3DCB" w:rsidRDefault="00D23957" w:rsidP="00D23957">
      <w:pPr>
        <w:pStyle w:val="ListParagraph"/>
        <w:numPr>
          <w:ilvl w:val="0"/>
          <w:numId w:val="3"/>
        </w:numPr>
        <w:shd w:val="clear" w:color="auto" w:fill="FFFFFF"/>
        <w:rPr>
          <w:rFonts w:eastAsia="Times New Roman" w:cs="Times New Roman"/>
          <w:sz w:val="20"/>
          <w:szCs w:val="20"/>
        </w:rPr>
      </w:pPr>
      <w:r w:rsidRPr="00E47B3D">
        <w:rPr>
          <w:rFonts w:eastAsia="Times New Roman" w:cs="Times New Roman"/>
          <w:sz w:val="20"/>
          <w:szCs w:val="20"/>
        </w:rPr>
        <w:t>Goods or services for the personal use of e</w:t>
      </w:r>
      <w:r>
        <w:rPr>
          <w:rFonts w:eastAsia="Times New Roman" w:cs="Times New Roman"/>
          <w:sz w:val="20"/>
          <w:szCs w:val="20"/>
        </w:rPr>
        <w:t>mployees</w:t>
      </w:r>
    </w:p>
    <w:p w14:paraId="7AC975FB" w14:textId="7D87D078" w:rsidR="00D23957" w:rsidRDefault="00D23957" w:rsidP="00D23957">
      <w:pPr>
        <w:pStyle w:val="ListParagraph"/>
        <w:numPr>
          <w:ilvl w:val="0"/>
          <w:numId w:val="3"/>
        </w:numPr>
        <w:shd w:val="clear" w:color="auto" w:fill="FFFFFF"/>
        <w:rPr>
          <w:rFonts w:eastAsia="Times New Roman" w:cs="Times New Roman"/>
          <w:sz w:val="20"/>
          <w:szCs w:val="20"/>
        </w:rPr>
      </w:pPr>
      <w:r>
        <w:rPr>
          <w:rFonts w:eastAsia="Times New Roman" w:cs="Times New Roman"/>
          <w:sz w:val="20"/>
          <w:szCs w:val="20"/>
        </w:rPr>
        <w:t>Lobbying costs</w:t>
      </w:r>
    </w:p>
    <w:p w14:paraId="043CB702" w14:textId="77777777" w:rsidR="009D3DCB" w:rsidRPr="00E47B3D" w:rsidRDefault="009D3DCB" w:rsidP="00E47B3D">
      <w:pPr>
        <w:pStyle w:val="ListParagraph"/>
        <w:numPr>
          <w:ilvl w:val="0"/>
          <w:numId w:val="3"/>
        </w:numPr>
        <w:shd w:val="clear" w:color="auto" w:fill="FFFFFF"/>
        <w:rPr>
          <w:rFonts w:eastAsia="Times New Roman" w:cs="Times New Roman"/>
          <w:sz w:val="20"/>
          <w:szCs w:val="20"/>
        </w:rPr>
      </w:pPr>
      <w:r w:rsidRPr="00E47B3D">
        <w:rPr>
          <w:rFonts w:eastAsia="Times New Roman" w:cs="Times New Roman"/>
          <w:sz w:val="20"/>
          <w:szCs w:val="20"/>
        </w:rPr>
        <w:t xml:space="preserve">Memorabilia or promotional materials </w:t>
      </w:r>
    </w:p>
    <w:p w14:paraId="2845755C" w14:textId="3B4292B1" w:rsidR="009D3DCB" w:rsidRPr="00E47B3D" w:rsidRDefault="007A7300" w:rsidP="00E47B3D">
      <w:pPr>
        <w:pStyle w:val="ListParagraph"/>
        <w:numPr>
          <w:ilvl w:val="0"/>
          <w:numId w:val="3"/>
        </w:numPr>
        <w:shd w:val="clear" w:color="auto" w:fill="FFFFFF"/>
        <w:rPr>
          <w:rFonts w:eastAsia="Times New Roman" w:cs="Times New Roman"/>
          <w:sz w:val="20"/>
          <w:szCs w:val="20"/>
        </w:rPr>
      </w:pPr>
      <w:r>
        <w:rPr>
          <w:rFonts w:eastAsia="Times New Roman" w:cs="Times New Roman"/>
          <w:sz w:val="20"/>
          <w:szCs w:val="20"/>
        </w:rPr>
        <w:t>Certain relocation costs *</w:t>
      </w:r>
    </w:p>
    <w:p w14:paraId="0BB415A7" w14:textId="767C310D" w:rsidR="009D3DCB" w:rsidRPr="00E47B3D" w:rsidRDefault="007A7300" w:rsidP="00E47B3D">
      <w:pPr>
        <w:pStyle w:val="ListParagraph"/>
        <w:numPr>
          <w:ilvl w:val="0"/>
          <w:numId w:val="3"/>
        </w:numPr>
        <w:shd w:val="clear" w:color="auto" w:fill="FFFFFF"/>
        <w:rPr>
          <w:rFonts w:eastAsia="Times New Roman" w:cs="Times New Roman"/>
          <w:sz w:val="20"/>
          <w:szCs w:val="20"/>
        </w:rPr>
      </w:pPr>
      <w:r>
        <w:rPr>
          <w:rFonts w:eastAsia="Times New Roman" w:cs="Times New Roman"/>
          <w:sz w:val="20"/>
          <w:szCs w:val="20"/>
        </w:rPr>
        <w:t xml:space="preserve">Recruitment costs that are lavish or go beyond the standards of our established recruiting program </w:t>
      </w:r>
    </w:p>
    <w:p w14:paraId="16AF693C" w14:textId="68927C92" w:rsidR="009D3DCB" w:rsidRPr="00E47B3D" w:rsidRDefault="009D3DCB" w:rsidP="00E47B3D">
      <w:pPr>
        <w:pStyle w:val="ListParagraph"/>
        <w:numPr>
          <w:ilvl w:val="0"/>
          <w:numId w:val="3"/>
        </w:numPr>
        <w:shd w:val="clear" w:color="auto" w:fill="FFFFFF"/>
        <w:rPr>
          <w:rFonts w:eastAsia="Times New Roman" w:cs="Times New Roman"/>
          <w:sz w:val="20"/>
          <w:szCs w:val="20"/>
        </w:rPr>
      </w:pPr>
      <w:r w:rsidRPr="00E47B3D">
        <w:rPr>
          <w:rFonts w:eastAsia="Times New Roman" w:cs="Times New Roman"/>
          <w:sz w:val="20"/>
          <w:szCs w:val="20"/>
        </w:rPr>
        <w:t>Certain travel costs, such as first-class travel</w:t>
      </w:r>
      <w:r w:rsidR="007A7300">
        <w:rPr>
          <w:rFonts w:eastAsia="Times New Roman" w:cs="Times New Roman"/>
          <w:sz w:val="20"/>
          <w:szCs w:val="20"/>
        </w:rPr>
        <w:t xml:space="preserve"> *</w:t>
      </w:r>
    </w:p>
    <w:p w14:paraId="511E315E" w14:textId="77777777" w:rsidR="009D3DCB" w:rsidRPr="00E47B3D" w:rsidRDefault="009D3DCB" w:rsidP="00E47B3D">
      <w:pPr>
        <w:pStyle w:val="ListParagraph"/>
        <w:numPr>
          <w:ilvl w:val="0"/>
          <w:numId w:val="3"/>
        </w:numPr>
        <w:shd w:val="clear" w:color="auto" w:fill="FFFFFF"/>
        <w:rPr>
          <w:rFonts w:eastAsia="Times New Roman" w:cs="Times New Roman"/>
          <w:sz w:val="20"/>
          <w:szCs w:val="20"/>
        </w:rPr>
      </w:pPr>
      <w:r w:rsidRPr="00E47B3D">
        <w:rPr>
          <w:rFonts w:eastAsia="Times New Roman" w:cs="Times New Roman"/>
          <w:sz w:val="20"/>
          <w:szCs w:val="20"/>
        </w:rPr>
        <w:t xml:space="preserve">Interest payments, except certain interest specifically coded as paid to outside parties and authorized by the Office of Finance </w:t>
      </w:r>
    </w:p>
    <w:p w14:paraId="0E58D172" w14:textId="145F3195" w:rsidR="009D3DCB" w:rsidRPr="00E47B3D" w:rsidRDefault="009D3DCB" w:rsidP="00E47B3D">
      <w:pPr>
        <w:pStyle w:val="ListParagraph"/>
        <w:numPr>
          <w:ilvl w:val="0"/>
          <w:numId w:val="3"/>
        </w:numPr>
        <w:shd w:val="clear" w:color="auto" w:fill="FFFFFF"/>
        <w:rPr>
          <w:rFonts w:eastAsia="Times New Roman" w:cs="Times New Roman"/>
          <w:sz w:val="20"/>
          <w:szCs w:val="20"/>
        </w:rPr>
      </w:pPr>
      <w:r w:rsidRPr="00E47B3D">
        <w:rPr>
          <w:rFonts w:eastAsia="Times New Roman" w:cs="Times New Roman"/>
          <w:sz w:val="20"/>
          <w:szCs w:val="20"/>
        </w:rPr>
        <w:t xml:space="preserve">Membership in civic, community, and social organizations or in dining and country </w:t>
      </w:r>
      <w:r w:rsidR="00D23957">
        <w:rPr>
          <w:rFonts w:eastAsia="Times New Roman" w:cs="Times New Roman"/>
          <w:sz w:val="20"/>
          <w:szCs w:val="20"/>
        </w:rPr>
        <w:t>clubs</w:t>
      </w:r>
    </w:p>
    <w:p w14:paraId="2D203511" w14:textId="36AFF99F" w:rsidR="009D3DCB" w:rsidRDefault="007A7300" w:rsidP="00442B41">
      <w:pPr>
        <w:shd w:val="clear" w:color="auto" w:fill="FFFFFF"/>
        <w:spacing w:before="100" w:beforeAutospacing="1" w:after="100" w:afterAutospacing="1"/>
        <w:ind w:left="180" w:hanging="180"/>
        <w:rPr>
          <w:rFonts w:eastAsia="Times New Roman" w:cs="Times New Roman"/>
          <w:sz w:val="20"/>
          <w:szCs w:val="20"/>
        </w:rPr>
      </w:pPr>
      <w:r>
        <w:rPr>
          <w:rFonts w:eastAsia="Times New Roman" w:cs="Times New Roman"/>
          <w:sz w:val="20"/>
          <w:szCs w:val="20"/>
        </w:rPr>
        <w:t>* Certain types of these costs are allowable and some are unallowable.  For spec</w:t>
      </w:r>
      <w:r w:rsidR="00164A14">
        <w:rPr>
          <w:rFonts w:eastAsia="Times New Roman" w:cs="Times New Roman"/>
          <w:sz w:val="20"/>
          <w:szCs w:val="20"/>
        </w:rPr>
        <w:t xml:space="preserve">ific items of cost within these </w:t>
      </w:r>
      <w:r>
        <w:rPr>
          <w:rFonts w:eastAsia="Times New Roman" w:cs="Times New Roman"/>
          <w:sz w:val="20"/>
          <w:szCs w:val="20"/>
        </w:rPr>
        <w:t>general categories, the Uniform Guidance will describe under which circumstances an expense might be considered allowable vs. unallowable.</w:t>
      </w:r>
    </w:p>
    <w:p w14:paraId="531B49CE" w14:textId="77777777" w:rsidR="008146B9" w:rsidRDefault="008146B9" w:rsidP="008146B9">
      <w:pPr>
        <w:shd w:val="clear" w:color="auto" w:fill="FFFFFF"/>
        <w:spacing w:before="100" w:beforeAutospacing="1" w:after="100" w:afterAutospacing="1"/>
        <w:rPr>
          <w:rFonts w:eastAsia="Times New Roman" w:cs="Times New Roman"/>
          <w:sz w:val="20"/>
          <w:szCs w:val="20"/>
        </w:rPr>
      </w:pPr>
      <w:r>
        <w:rPr>
          <w:rFonts w:eastAsia="Times New Roman" w:cs="Times New Roman"/>
          <w:sz w:val="20"/>
          <w:szCs w:val="20"/>
        </w:rPr>
        <w:t>These are the guidelines for expenditures with 803-type funds only.  Smithsonian Directive SD-323 Use of Funds, and the accompanying Use of Funds Handbook, covers the expenditures using all other funds.  The guidelines for unallowable vs. unallowable for all other (not 803 fund) funds are set forth within those resources.</w:t>
      </w:r>
    </w:p>
    <w:p w14:paraId="5C417CEE" w14:textId="0980ED24" w:rsidR="00A85E72" w:rsidRPr="00442B41" w:rsidRDefault="008146B9" w:rsidP="008146B9">
      <w:pPr>
        <w:shd w:val="clear" w:color="auto" w:fill="FFFFFF"/>
        <w:spacing w:before="100" w:beforeAutospacing="1" w:after="100" w:afterAutospacing="1"/>
        <w:rPr>
          <w:rFonts w:eastAsia="Times New Roman" w:cs="Times New Roman"/>
          <w:sz w:val="20"/>
          <w:szCs w:val="20"/>
        </w:rPr>
      </w:pPr>
      <w:r>
        <w:rPr>
          <w:rFonts w:eastAsia="Times New Roman" w:cs="Times New Roman"/>
          <w:sz w:val="20"/>
          <w:szCs w:val="20"/>
        </w:rPr>
        <w:t>Any questions about rules for expenditures of any type of Smithsonian funds should be addressed to the SAO Financial Management Department.</w:t>
      </w:r>
    </w:p>
    <w:sectPr w:rsidR="00A85E72" w:rsidRPr="00442B41" w:rsidSect="008A2FCD">
      <w:pgSz w:w="12240" w:h="15840"/>
      <w:pgMar w:top="999" w:right="1440" w:bottom="12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B13CE"/>
    <w:multiLevelType w:val="hybridMultilevel"/>
    <w:tmpl w:val="35F46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72577"/>
    <w:multiLevelType w:val="hybridMultilevel"/>
    <w:tmpl w:val="16C2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EF3C51"/>
    <w:multiLevelType w:val="hybridMultilevel"/>
    <w:tmpl w:val="748C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499"/>
    <w:rsid w:val="00026AAA"/>
    <w:rsid w:val="00053A24"/>
    <w:rsid w:val="00144BBA"/>
    <w:rsid w:val="00164A14"/>
    <w:rsid w:val="00195CC7"/>
    <w:rsid w:val="0028365B"/>
    <w:rsid w:val="00322CD4"/>
    <w:rsid w:val="00384484"/>
    <w:rsid w:val="00430499"/>
    <w:rsid w:val="00442B41"/>
    <w:rsid w:val="0064560F"/>
    <w:rsid w:val="00692A6F"/>
    <w:rsid w:val="006B702E"/>
    <w:rsid w:val="007252B1"/>
    <w:rsid w:val="007A7300"/>
    <w:rsid w:val="008146B9"/>
    <w:rsid w:val="008A2FCD"/>
    <w:rsid w:val="008C6D13"/>
    <w:rsid w:val="009D3DCB"/>
    <w:rsid w:val="00A85E72"/>
    <w:rsid w:val="00CA4065"/>
    <w:rsid w:val="00D23957"/>
    <w:rsid w:val="00D57525"/>
    <w:rsid w:val="00DC241C"/>
    <w:rsid w:val="00E47B3D"/>
    <w:rsid w:val="00E64FDF"/>
    <w:rsid w:val="00E83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6B1A"/>
  <w15:chartTrackingRefBased/>
  <w15:docId w15:val="{2D07F952-619F-9A40-A784-5E4DF66F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B702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7525"/>
    <w:rPr>
      <w:color w:val="0000FF"/>
      <w:u w:val="single"/>
    </w:rPr>
  </w:style>
  <w:style w:type="paragraph" w:styleId="ListParagraph">
    <w:name w:val="List Paragraph"/>
    <w:basedOn w:val="Normal"/>
    <w:uiPriority w:val="34"/>
    <w:qFormat/>
    <w:rsid w:val="00322CD4"/>
    <w:pPr>
      <w:ind w:left="720"/>
      <w:contextualSpacing/>
    </w:pPr>
  </w:style>
  <w:style w:type="character" w:customStyle="1" w:styleId="Heading2Char">
    <w:name w:val="Heading 2 Char"/>
    <w:basedOn w:val="DefaultParagraphFont"/>
    <w:link w:val="Heading2"/>
    <w:uiPriority w:val="9"/>
    <w:rsid w:val="006B702E"/>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DC241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241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22448">
      <w:bodyDiv w:val="1"/>
      <w:marLeft w:val="0"/>
      <w:marRight w:val="0"/>
      <w:marTop w:val="0"/>
      <w:marBottom w:val="0"/>
      <w:divBdr>
        <w:top w:val="none" w:sz="0" w:space="0" w:color="auto"/>
        <w:left w:val="none" w:sz="0" w:space="0" w:color="auto"/>
        <w:bottom w:val="none" w:sz="0" w:space="0" w:color="auto"/>
        <w:right w:val="none" w:sz="0" w:space="0" w:color="auto"/>
      </w:divBdr>
    </w:div>
    <w:div w:id="852038368">
      <w:bodyDiv w:val="1"/>
      <w:marLeft w:val="0"/>
      <w:marRight w:val="0"/>
      <w:marTop w:val="0"/>
      <w:marBottom w:val="0"/>
      <w:divBdr>
        <w:top w:val="none" w:sz="0" w:space="0" w:color="auto"/>
        <w:left w:val="none" w:sz="0" w:space="0" w:color="auto"/>
        <w:bottom w:val="none" w:sz="0" w:space="0" w:color="auto"/>
        <w:right w:val="none" w:sz="0" w:space="0" w:color="auto"/>
      </w:divBdr>
    </w:div>
    <w:div w:id="918095275">
      <w:bodyDiv w:val="1"/>
      <w:marLeft w:val="0"/>
      <w:marRight w:val="0"/>
      <w:marTop w:val="0"/>
      <w:marBottom w:val="0"/>
      <w:divBdr>
        <w:top w:val="none" w:sz="0" w:space="0" w:color="auto"/>
        <w:left w:val="none" w:sz="0" w:space="0" w:color="auto"/>
        <w:bottom w:val="none" w:sz="0" w:space="0" w:color="auto"/>
        <w:right w:val="none" w:sz="0" w:space="0" w:color="auto"/>
      </w:divBdr>
    </w:div>
    <w:div w:id="1330133034">
      <w:bodyDiv w:val="1"/>
      <w:marLeft w:val="0"/>
      <w:marRight w:val="0"/>
      <w:marTop w:val="0"/>
      <w:marBottom w:val="0"/>
      <w:divBdr>
        <w:top w:val="none" w:sz="0" w:space="0" w:color="auto"/>
        <w:left w:val="none" w:sz="0" w:space="0" w:color="auto"/>
        <w:bottom w:val="none" w:sz="0" w:space="0" w:color="auto"/>
        <w:right w:val="none" w:sz="0" w:space="0" w:color="auto"/>
      </w:divBdr>
    </w:div>
    <w:div w:id="1878930603">
      <w:bodyDiv w:val="1"/>
      <w:marLeft w:val="0"/>
      <w:marRight w:val="0"/>
      <w:marTop w:val="0"/>
      <w:marBottom w:val="0"/>
      <w:divBdr>
        <w:top w:val="none" w:sz="0" w:space="0" w:color="auto"/>
        <w:left w:val="none" w:sz="0" w:space="0" w:color="auto"/>
        <w:bottom w:val="none" w:sz="0" w:space="0" w:color="auto"/>
        <w:right w:val="none" w:sz="0" w:space="0" w:color="auto"/>
      </w:divBdr>
    </w:div>
    <w:div w:id="1967738788">
      <w:bodyDiv w:val="1"/>
      <w:marLeft w:val="0"/>
      <w:marRight w:val="0"/>
      <w:marTop w:val="0"/>
      <w:marBottom w:val="0"/>
      <w:divBdr>
        <w:top w:val="none" w:sz="0" w:space="0" w:color="auto"/>
        <w:left w:val="none" w:sz="0" w:space="0" w:color="auto"/>
        <w:bottom w:val="none" w:sz="0" w:space="0" w:color="auto"/>
        <w:right w:val="none" w:sz="0" w:space="0" w:color="auto"/>
      </w:divBdr>
    </w:div>
    <w:div w:id="1999379610">
      <w:bodyDiv w:val="1"/>
      <w:marLeft w:val="0"/>
      <w:marRight w:val="0"/>
      <w:marTop w:val="0"/>
      <w:marBottom w:val="0"/>
      <w:divBdr>
        <w:top w:val="none" w:sz="0" w:space="0" w:color="auto"/>
        <w:left w:val="none" w:sz="0" w:space="0" w:color="auto"/>
        <w:bottom w:val="none" w:sz="0" w:space="0" w:color="auto"/>
        <w:right w:val="none" w:sz="0" w:space="0" w:color="auto"/>
      </w:divBdr>
    </w:div>
    <w:div w:id="20421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cfr.gov/cgi-bin/text-idx?node=2:1.1.2.2.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FFB63-AD2E-4C8A-BF3A-0A66D5753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857</Words>
  <Characters>4887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mvisniew</cp:lastModifiedBy>
  <cp:revision>2</cp:revision>
  <cp:lastPrinted>2020-05-27T19:12:00Z</cp:lastPrinted>
  <dcterms:created xsi:type="dcterms:W3CDTF">2020-06-03T01:12:00Z</dcterms:created>
  <dcterms:modified xsi:type="dcterms:W3CDTF">2020-06-03T01:12:00Z</dcterms:modified>
</cp:coreProperties>
</file>